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73" w:rsidRDefault="00823173" w:rsidP="00F73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23173" w:rsidRDefault="00700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Опис медичних послуг, які будуть надаватися за Договором (Специфікація)</w:t>
      </w:r>
    </w:p>
    <w:p w:rsidR="00823173" w:rsidRDefault="008231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3173" w:rsidRDefault="00700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</w:p>
    <w:p w:rsidR="00823173" w:rsidRDefault="008231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3173" w:rsidRDefault="00700CF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Забезпечення первинного огляду пацієнта/пацієнтки з визначенням його/її маршрутизації.</w:t>
      </w:r>
    </w:p>
    <w:p w:rsidR="00823173" w:rsidRDefault="00700CF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Проведення лабораторних досліджень, зокрема: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розгорнутий клінічний аналіз крові;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група крові і резус-фактора;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біохімічний аналіз крові (загальний білок, альбумін, глобулін, альфа-амілаза,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аспартатамінотрансфераза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АсАТ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аланінамінотрансфераза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АлАТ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), білірубін і його фракції (загальний, прямий, непрямий), креатинін, сечовина, сечова кислота, електроліти: калій, хлор, натрій, магній, кальцій;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феритин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; сироватковий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прокальцитонін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тропонін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I або Т, високочутливий (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hs-cTnI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); гамма-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глутамінтранспептидаза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(ГГТП), лужна фосфатаза, показник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антинуклеарних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антитіл (AНA));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ліпідний профіль: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тригліцериди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, загальний холестерин, ліпопротеїди низької щільності (ЛПНЩ), ліпопротеїди високої щільності (ЛПВЩ) в сироватці крові;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ревматологічні та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гострофазові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показники (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ревматоїдний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фактор (кількісне визначення),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сіалові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кислоти, С-реактивний білок (кількісне визначення),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антистрептолізин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-О (кількісне визначення));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коагуляційний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гемостаз (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тромбіновий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час, активований частковий (парціальний)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тромбопластиновий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час (АЧТЧ, АПТЧ), фібриноген, міжнародне нормалізоване відношення (МНВ));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глюкоза в цільній крові або сироватці крові; 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глюкозотолерантний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тест;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глікозильований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гемоглобін у цільній крові;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дослідження спинномозкової рідини;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аналіз сечі загальний;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мікроальбумін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у сечі;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кетони (ацетон) сечі;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копрограма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тестування на сифіліс, гепатити, ВІЛ, SARS-CoV-2, грип;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бактеріологічні дослідження з визначенням патогенної флори, умовно патогенних та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облігатних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бактерій, а також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мікропреципітації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на сифіліс, визначення найпростіших та гельмінтів калу,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серотипування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та чутливість до антибактеріальної терапії;</w:t>
      </w:r>
    </w:p>
    <w:p w:rsidR="00823173" w:rsidRDefault="00700CF4">
      <w:pPr>
        <w:pStyle w:val="a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інші лабораторні дослідження відповідно до галузевих стандартів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.</w:t>
      </w:r>
    </w:p>
    <w:p w:rsidR="00823173" w:rsidRDefault="00700CF4">
      <w:pPr>
        <w:pStyle w:val="a5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Проведення інструментальних обстежень, зокрема:</w:t>
      </w:r>
    </w:p>
    <w:p w:rsidR="00823173" w:rsidRDefault="00700CF4">
      <w:pPr>
        <w:pStyle w:val="a5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електрокардіографія (ЕКГ);</w:t>
      </w:r>
    </w:p>
    <w:p w:rsidR="00823173" w:rsidRDefault="00700CF4">
      <w:pPr>
        <w:pStyle w:val="a5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ультразвукові дослідження, в тому числі із проведенням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доплерографії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;</w:t>
      </w:r>
    </w:p>
    <w:p w:rsidR="00823173" w:rsidRDefault="00700CF4">
      <w:pPr>
        <w:pStyle w:val="a5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ендоскопічні дослідження;</w:t>
      </w:r>
    </w:p>
    <w:p w:rsidR="00823173" w:rsidRDefault="00700CF4">
      <w:pPr>
        <w:pStyle w:val="a5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рентгенологічні дослідження, в тому числі комп’ютерна томографія (в тому числі з внутрішньовенним контрастуванням);</w:t>
      </w:r>
    </w:p>
    <w:p w:rsidR="00823173" w:rsidRDefault="00700CF4">
      <w:pPr>
        <w:pStyle w:val="a5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магнітно-резонансна томографія (в тому числі з внутрішньовенним контрастуванням);</w:t>
      </w:r>
    </w:p>
    <w:p w:rsidR="00823173" w:rsidRDefault="00700CF4">
      <w:pPr>
        <w:pStyle w:val="a5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інші інструментальні дослідження відповідно до галузевих стандартів.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Своєчасне знеболення на всіх етапах діагностики та лікування: обов’язкове анестезіологічне забезпечення під час виконання всіх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боліінвазійних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діагностичних та інших лікувальних процедур, цілодобовий доступ до ненаркотичних та наркотичних знеболювальних засобів.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Надання медичної допомоги, направленої на полегшення, зняття чи усунення симптомів і проявів захворювання чи іншого порушення життєдіяльності, нормалізація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 xml:space="preserve">порушених процесів життєдіяльності і одужання, відновлення здоров’я </w:t>
      </w:r>
      <w:r>
        <w:rPr>
          <w:rFonts w:ascii="Times New Roman" w:hAnsi="Times New Roman"/>
          <w:color w:val="000000"/>
          <w:sz w:val="24"/>
          <w:szCs w:val="24"/>
        </w:rPr>
        <w:t>пацієнта/пацієнтки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без застосування хірургічних операцій.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Проведення інтенсивної терапії </w:t>
      </w:r>
      <w:r>
        <w:rPr>
          <w:rFonts w:ascii="Times New Roman" w:hAnsi="Times New Roman"/>
          <w:color w:val="000000"/>
          <w:sz w:val="24"/>
          <w:szCs w:val="24"/>
        </w:rPr>
        <w:t>пацієнту/пацієнтці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у випадку виникнення у них загрозливих для життя станів.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Проведення консультацій лікарями інших спеціальностей у ЗОЗ або на умовах договору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Надання пацієнтам послуг з  реабілітації в гострому періоді реабілітації (за відсутності протипоказань) в стаціонарних умовах та направлення </w:t>
      </w:r>
      <w:r>
        <w:rPr>
          <w:rFonts w:ascii="Times New Roman" w:hAnsi="Times New Roman"/>
          <w:color w:val="000000"/>
          <w:sz w:val="24"/>
          <w:szCs w:val="24"/>
        </w:rPr>
        <w:t xml:space="preserve">пацієнта/пацієнтки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для отримання реабілітаційної допомоги у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післягострому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та довготривалому періодах реабілітації.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Надання медичної допомоги вагітним з ускладненим перебігом вагітності та/або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екстрагенітальною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патологією.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Забезпечення цілодобового лікарського спостереження та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медсестринського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догляду.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Проведення заходів із профілактики захворювань.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Направлення </w:t>
      </w:r>
      <w:r>
        <w:rPr>
          <w:rFonts w:ascii="Times New Roman" w:hAnsi="Times New Roman"/>
          <w:color w:val="000000"/>
          <w:sz w:val="24"/>
          <w:szCs w:val="24"/>
        </w:rPr>
        <w:t>пацієнта/пацієнтки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(за потреби) в інші заклади охорони здоров'я (ЗОЗ)/підрозділи для надання їм спеціалізованої та паліативної медичної допомоги.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Забезпечення лікарськими засобами, постачання яких здійснюється шляхом централізованих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МОЗ, за рахунок інших програм центрального та місцевого бюджетів, а також лікарськими засобами, визначеними Національним переліком основних лікарських засобів, необхідними медичними виробами та витратними матеріалами відповідно до галузевих стандартів у сфері охорони здоров’я та медико-технологічних документів.</w:t>
      </w:r>
    </w:p>
    <w:p w:rsidR="00823173" w:rsidRDefault="00700CF4">
      <w:pPr>
        <w:pStyle w:val="a5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Забезпечення харчуванням в умовах стаціонару.</w:t>
      </w:r>
    </w:p>
    <w:p w:rsidR="00823173" w:rsidRDefault="00700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360" w:firstLine="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23173" w:rsidRDefault="00700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Додаткові вимоги до обсягу медичних послуг, який надавач зобов’язується надавати за договором відповідно до медичних потреб пацієнта/пацієнтки (специфікація) (для надання медичної допомоги дітям):</w:t>
      </w:r>
    </w:p>
    <w:p w:rsidR="00823173" w:rsidRDefault="00700CF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Надання медичної допомоги дітям із гострими та хронічними захворюваннями, в тому числі у відділенні інтенсивної терапії, відповідно до галузевих стандартів у сфері охорони здоров’я.</w:t>
      </w:r>
    </w:p>
    <w:p w:rsidR="00823173" w:rsidRDefault="00700CF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Цілодобове проведення інструментальних досліджень в умовах стаціонару.</w:t>
      </w:r>
    </w:p>
    <w:p w:rsidR="00823173" w:rsidRDefault="00700CF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Цілодобове проведення лабораторних досліджень у </w:t>
      </w:r>
      <w:r>
        <w:rPr>
          <w:rFonts w:ascii="Times New Roman" w:hAnsi="Times New Roman"/>
          <w:color w:val="000000"/>
          <w:sz w:val="24"/>
          <w:szCs w:val="24"/>
        </w:rPr>
        <w:t>ЗОЗ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</w:p>
    <w:p w:rsidR="00823173" w:rsidRDefault="00700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23173" w:rsidRDefault="00700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Додаткові вимоги до обсягу медичних послуг, який надавач зобов’язується надавати за договором відповідно до медичних потреб пацієнта/пацієнтки (специфікація) (для надання медичної допомоги дорослим):</w:t>
      </w:r>
    </w:p>
    <w:p w:rsidR="00823173" w:rsidRDefault="00700CF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Цілодобове проведення інструментальних досліджень в умовах стаціонару.</w:t>
      </w:r>
    </w:p>
    <w:p w:rsidR="00823173" w:rsidRDefault="00700CF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Цілодобове проведення лабораторних досліджень у </w:t>
      </w:r>
      <w:r>
        <w:rPr>
          <w:rFonts w:ascii="Times New Roman" w:hAnsi="Times New Roman"/>
          <w:color w:val="000000"/>
          <w:sz w:val="24"/>
          <w:szCs w:val="24"/>
        </w:rPr>
        <w:t>ЗОЗ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</w:p>
    <w:p w:rsidR="00823173" w:rsidRDefault="0082317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3173" w:rsidRDefault="0082317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23173">
      <w:headerReference w:type="default" r:id="rId8"/>
      <w:pgSz w:w="11909" w:h="16834"/>
      <w:pgMar w:top="1134" w:right="567" w:bottom="1134" w:left="1701" w:header="720" w:footer="72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9CE" w:rsidRDefault="00F329CE">
      <w:pPr>
        <w:spacing w:line="240" w:lineRule="auto"/>
      </w:pPr>
    </w:p>
  </w:endnote>
  <w:endnote w:type="continuationSeparator" w:id="0">
    <w:p w:rsidR="00F329CE" w:rsidRDefault="00F329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9CE" w:rsidRDefault="00F329CE">
      <w:pPr>
        <w:spacing w:line="240" w:lineRule="auto"/>
      </w:pPr>
    </w:p>
  </w:footnote>
  <w:footnote w:type="continuationSeparator" w:id="0">
    <w:p w:rsidR="00F329CE" w:rsidRDefault="00F329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73" w:rsidRDefault="00700C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3A1B39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:rsidR="00823173" w:rsidRDefault="008231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F06"/>
    <w:multiLevelType w:val="multilevel"/>
    <w:tmpl w:val="17406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D6178A9"/>
    <w:multiLevelType w:val="multilevel"/>
    <w:tmpl w:val="F424A6F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055A33"/>
    <w:multiLevelType w:val="multilevel"/>
    <w:tmpl w:val="8E54D3A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07C2A41"/>
    <w:multiLevelType w:val="multilevel"/>
    <w:tmpl w:val="CFDA7D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58E3"/>
    <w:multiLevelType w:val="multilevel"/>
    <w:tmpl w:val="C002A322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27673C9"/>
    <w:multiLevelType w:val="multilevel"/>
    <w:tmpl w:val="C088BC5A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7955C4B"/>
    <w:multiLevelType w:val="multilevel"/>
    <w:tmpl w:val="415CF05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962036A"/>
    <w:multiLevelType w:val="multilevel"/>
    <w:tmpl w:val="A2589FE4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3E3660"/>
    <w:multiLevelType w:val="multilevel"/>
    <w:tmpl w:val="97564F2E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suff w:val="space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F942EA1"/>
    <w:multiLevelType w:val="multilevel"/>
    <w:tmpl w:val="30E642F6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295671C"/>
    <w:multiLevelType w:val="multilevel"/>
    <w:tmpl w:val="4EAEC71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3E830C3"/>
    <w:multiLevelType w:val="multilevel"/>
    <w:tmpl w:val="56F8E93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9AF6878"/>
    <w:multiLevelType w:val="multilevel"/>
    <w:tmpl w:val="5A3E6E3A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E245301"/>
    <w:multiLevelType w:val="hybridMultilevel"/>
    <w:tmpl w:val="3BD01310"/>
    <w:lvl w:ilvl="0" w:tplc="C45C8784">
      <w:start w:val="1"/>
      <w:numFmt w:val="lowerLetter"/>
      <w:suff w:val="space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752AE"/>
    <w:multiLevelType w:val="multilevel"/>
    <w:tmpl w:val="A756327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31A07B27"/>
    <w:multiLevelType w:val="multilevel"/>
    <w:tmpl w:val="F86E275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3BD1D3F"/>
    <w:multiLevelType w:val="multilevel"/>
    <w:tmpl w:val="75244AC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7B90264"/>
    <w:multiLevelType w:val="multilevel"/>
    <w:tmpl w:val="D70C7B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F2451"/>
    <w:multiLevelType w:val="multilevel"/>
    <w:tmpl w:val="CF582046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0AD61D2"/>
    <w:multiLevelType w:val="hybridMultilevel"/>
    <w:tmpl w:val="6032B142"/>
    <w:lvl w:ilvl="0" w:tplc="78782A78">
      <w:start w:val="3"/>
      <w:numFmt w:val="decimal"/>
      <w:suff w:val="space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C1A5E"/>
    <w:multiLevelType w:val="multilevel"/>
    <w:tmpl w:val="66C40586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6B67D75"/>
    <w:multiLevelType w:val="hybridMultilevel"/>
    <w:tmpl w:val="4F40AFAC"/>
    <w:lvl w:ilvl="0" w:tplc="D8B08B82">
      <w:start w:val="4"/>
      <w:numFmt w:val="decimal"/>
      <w:suff w:val="space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254BB"/>
    <w:multiLevelType w:val="multilevel"/>
    <w:tmpl w:val="81923CA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8676582"/>
    <w:multiLevelType w:val="multilevel"/>
    <w:tmpl w:val="36EC8810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8CE5AAC"/>
    <w:multiLevelType w:val="multilevel"/>
    <w:tmpl w:val="6BEC9FEE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9B862E7"/>
    <w:multiLevelType w:val="multilevel"/>
    <w:tmpl w:val="D72C2CB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A295CCF"/>
    <w:multiLevelType w:val="multilevel"/>
    <w:tmpl w:val="B7D84F76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BCC17B3"/>
    <w:multiLevelType w:val="multilevel"/>
    <w:tmpl w:val="D1E6FA28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4CBC7BD6"/>
    <w:multiLevelType w:val="hybridMultilevel"/>
    <w:tmpl w:val="769260C4"/>
    <w:lvl w:ilvl="0" w:tplc="A34E7DA2">
      <w:start w:val="1"/>
      <w:numFmt w:val="lowerLetter"/>
      <w:suff w:val="space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01A02"/>
    <w:multiLevelType w:val="multilevel"/>
    <w:tmpl w:val="807C9BD2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03D69B9"/>
    <w:multiLevelType w:val="multilevel"/>
    <w:tmpl w:val="3A1E1344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0A04A4E"/>
    <w:multiLevelType w:val="multilevel"/>
    <w:tmpl w:val="5FE0A3D8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57E056D"/>
    <w:multiLevelType w:val="multilevel"/>
    <w:tmpl w:val="484043CE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D7D5031"/>
    <w:multiLevelType w:val="multilevel"/>
    <w:tmpl w:val="A0C4306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5E9F5521"/>
    <w:multiLevelType w:val="multilevel"/>
    <w:tmpl w:val="C2280C1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0AF5420"/>
    <w:multiLevelType w:val="multilevel"/>
    <w:tmpl w:val="31001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60D461D2"/>
    <w:multiLevelType w:val="multilevel"/>
    <w:tmpl w:val="AEB861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7" w15:restartNumberingAfterBreak="0">
    <w:nsid w:val="636C674F"/>
    <w:multiLevelType w:val="multilevel"/>
    <w:tmpl w:val="4BA4611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6E0A3DE1"/>
    <w:multiLevelType w:val="hybridMultilevel"/>
    <w:tmpl w:val="DA5A3268"/>
    <w:lvl w:ilvl="0" w:tplc="81A4D7F2">
      <w:start w:val="1"/>
      <w:numFmt w:val="lowerLetter"/>
      <w:suff w:val="space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C384F"/>
    <w:multiLevelType w:val="multilevel"/>
    <w:tmpl w:val="0ED6A8BC"/>
    <w:lvl w:ilvl="0">
      <w:start w:val="1"/>
      <w:numFmt w:val="decimal"/>
      <w:suff w:val="space"/>
      <w:lvlText w:val="%1."/>
      <w:lvlJc w:val="left"/>
      <w:pPr>
        <w:ind w:left="1440" w:hanging="731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0" w15:restartNumberingAfterBreak="0">
    <w:nsid w:val="72A43E86"/>
    <w:multiLevelType w:val="multilevel"/>
    <w:tmpl w:val="E27656DE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2D658E7"/>
    <w:multiLevelType w:val="multilevel"/>
    <w:tmpl w:val="1BACF8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53F3086"/>
    <w:multiLevelType w:val="multilevel"/>
    <w:tmpl w:val="BD28390A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77C5090F"/>
    <w:multiLevelType w:val="multilevel"/>
    <w:tmpl w:val="856CE5B0"/>
    <w:lvl w:ilvl="0">
      <w:start w:val="1"/>
      <w:numFmt w:val="lowerLetter"/>
      <w:suff w:val="space"/>
      <w:lvlText w:val="%1."/>
      <w:lvlJc w:val="left"/>
      <w:pPr>
        <w:ind w:left="142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44" w15:restartNumberingAfterBreak="0">
    <w:nsid w:val="7D087A4C"/>
    <w:multiLevelType w:val="multilevel"/>
    <w:tmpl w:val="0DD27B90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7E8A4F7B"/>
    <w:multiLevelType w:val="multilevel"/>
    <w:tmpl w:val="B442B9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suff w:val="space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6" w15:restartNumberingAfterBreak="0">
    <w:nsid w:val="7FEA113A"/>
    <w:multiLevelType w:val="multilevel"/>
    <w:tmpl w:val="EDD6E26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7"/>
  </w:num>
  <w:num w:numId="2">
    <w:abstractNumId w:val="39"/>
  </w:num>
  <w:num w:numId="3">
    <w:abstractNumId w:val="36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34"/>
  </w:num>
  <w:num w:numId="9">
    <w:abstractNumId w:val="16"/>
  </w:num>
  <w:num w:numId="10">
    <w:abstractNumId w:val="11"/>
  </w:num>
  <w:num w:numId="11">
    <w:abstractNumId w:val="22"/>
  </w:num>
  <w:num w:numId="12">
    <w:abstractNumId w:val="0"/>
  </w:num>
  <w:num w:numId="13">
    <w:abstractNumId w:val="42"/>
  </w:num>
  <w:num w:numId="14">
    <w:abstractNumId w:val="29"/>
  </w:num>
  <w:num w:numId="15">
    <w:abstractNumId w:val="44"/>
  </w:num>
  <w:num w:numId="16">
    <w:abstractNumId w:val="23"/>
  </w:num>
  <w:num w:numId="17">
    <w:abstractNumId w:val="27"/>
  </w:num>
  <w:num w:numId="18">
    <w:abstractNumId w:val="43"/>
  </w:num>
  <w:num w:numId="19">
    <w:abstractNumId w:val="2"/>
  </w:num>
  <w:num w:numId="20">
    <w:abstractNumId w:val="9"/>
  </w:num>
  <w:num w:numId="21">
    <w:abstractNumId w:val="18"/>
  </w:num>
  <w:num w:numId="22">
    <w:abstractNumId w:val="46"/>
  </w:num>
  <w:num w:numId="23">
    <w:abstractNumId w:val="12"/>
  </w:num>
  <w:num w:numId="24">
    <w:abstractNumId w:val="6"/>
  </w:num>
  <w:num w:numId="25">
    <w:abstractNumId w:val="20"/>
  </w:num>
  <w:num w:numId="26">
    <w:abstractNumId w:val="32"/>
  </w:num>
  <w:num w:numId="27">
    <w:abstractNumId w:val="4"/>
  </w:num>
  <w:num w:numId="28">
    <w:abstractNumId w:val="24"/>
  </w:num>
  <w:num w:numId="29">
    <w:abstractNumId w:val="7"/>
  </w:num>
  <w:num w:numId="30">
    <w:abstractNumId w:val="30"/>
  </w:num>
  <w:num w:numId="31">
    <w:abstractNumId w:val="5"/>
  </w:num>
  <w:num w:numId="32">
    <w:abstractNumId w:val="26"/>
  </w:num>
  <w:num w:numId="33">
    <w:abstractNumId w:val="37"/>
  </w:num>
  <w:num w:numId="34">
    <w:abstractNumId w:val="40"/>
  </w:num>
  <w:num w:numId="35">
    <w:abstractNumId w:val="15"/>
  </w:num>
  <w:num w:numId="36">
    <w:abstractNumId w:val="31"/>
  </w:num>
  <w:num w:numId="37">
    <w:abstractNumId w:val="38"/>
  </w:num>
  <w:num w:numId="38">
    <w:abstractNumId w:val="14"/>
  </w:num>
  <w:num w:numId="39">
    <w:abstractNumId w:val="45"/>
  </w:num>
  <w:num w:numId="40">
    <w:abstractNumId w:val="35"/>
  </w:num>
  <w:num w:numId="41">
    <w:abstractNumId w:val="41"/>
  </w:num>
  <w:num w:numId="42">
    <w:abstractNumId w:val="25"/>
  </w:num>
  <w:num w:numId="43">
    <w:abstractNumId w:val="33"/>
  </w:num>
  <w:num w:numId="44">
    <w:abstractNumId w:val="13"/>
  </w:num>
  <w:num w:numId="45">
    <w:abstractNumId w:val="19"/>
  </w:num>
  <w:num w:numId="46">
    <w:abstractNumId w:val="2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73"/>
    <w:rsid w:val="003A1B39"/>
    <w:rsid w:val="00700CF4"/>
    <w:rsid w:val="00823173"/>
    <w:rsid w:val="00F329CE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57F6F-4731-4B30-8CB1-BFC338E8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  <w:spacing w:line="240" w:lineRule="auto"/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  <w:spacing w:line="240" w:lineRule="auto"/>
    </w:pPr>
  </w:style>
  <w:style w:type="paragraph" w:styleId="aa">
    <w:name w:val="annotation text"/>
    <w:basedOn w:val="a"/>
    <w:link w:val="ab"/>
    <w:semiHidden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semiHidden/>
    <w:rPr>
      <w:b/>
      <w:bCs/>
    </w:rPr>
  </w:style>
  <w:style w:type="paragraph" w:styleId="ae">
    <w:name w:val="Balloon Text"/>
    <w:basedOn w:val="a"/>
    <w:link w:val="af"/>
    <w:semiHidden/>
    <w:pPr>
      <w:spacing w:line="240" w:lineRule="auto"/>
    </w:pPr>
    <w:rPr>
      <w:rFonts w:ascii="Segoe UI" w:hAnsi="Segoe UI"/>
      <w:sz w:val="18"/>
      <w:szCs w:val="18"/>
    </w:rPr>
  </w:style>
  <w:style w:type="paragraph" w:customStyle="1" w:styleId="af0">
    <w:name w:val="Нормальний текст"/>
    <w:basedOn w:val="a"/>
    <w:pPr>
      <w:spacing w:before="120" w:line="240" w:lineRule="auto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styleId="af1">
    <w:name w:val="footnote text"/>
    <w:link w:val="af2"/>
    <w:semiHidden/>
    <w:pPr>
      <w:spacing w:line="240" w:lineRule="auto"/>
    </w:pPr>
    <w:rPr>
      <w:sz w:val="20"/>
      <w:szCs w:val="20"/>
    </w:rPr>
  </w:style>
  <w:style w:type="paragraph" w:styleId="af3">
    <w:name w:val="endnote text"/>
    <w:link w:val="af4"/>
    <w:semiHidden/>
    <w:pPr>
      <w:spacing w:line="240" w:lineRule="auto"/>
    </w:pPr>
    <w:rPr>
      <w:sz w:val="20"/>
      <w:szCs w:val="20"/>
    </w:rPr>
  </w:style>
  <w:style w:type="paragraph" w:styleId="af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styleId="af8">
    <w:name w:val="annotation reference"/>
    <w:basedOn w:val="a0"/>
    <w:semiHidden/>
    <w:rPr>
      <w:sz w:val="16"/>
      <w:szCs w:val="16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character" w:customStyle="1" w:styleId="ad">
    <w:name w:val="Тема примечания Знак"/>
    <w:basedOn w:val="ab"/>
    <w:link w:val="ac"/>
    <w:semiHidden/>
    <w:rPr>
      <w:b/>
      <w:bCs/>
      <w:sz w:val="20"/>
      <w:szCs w:val="20"/>
    </w:rPr>
  </w:style>
  <w:style w:type="character" w:customStyle="1" w:styleId="af">
    <w:name w:val="Текст выноски Знак"/>
    <w:basedOn w:val="a0"/>
    <w:link w:val="ae"/>
    <w:semiHidden/>
    <w:rPr>
      <w:rFonts w:ascii="Segoe UI" w:hAnsi="Segoe UI"/>
      <w:sz w:val="18"/>
      <w:szCs w:val="18"/>
    </w:rPr>
  </w:style>
  <w:style w:type="character" w:styleId="af9">
    <w:name w:val="footnote reference"/>
    <w:semiHidden/>
    <w:rPr>
      <w:vertAlign w:val="superscript"/>
    </w:rPr>
  </w:style>
  <w:style w:type="character" w:customStyle="1" w:styleId="af2">
    <w:name w:val="Текст сноски Знак"/>
    <w:link w:val="af1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4">
    <w:name w:val="Текст концевой сноски Знак"/>
    <w:link w:val="af3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apple-tab-span">
    <w:name w:val="apple-tab-span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Avq580S+xq75Dbj9TPOh1hP6Qg==">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3255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Слободянюк Ірина Богданівна</dc:creator>
  <cp:lastModifiedBy>User</cp:lastModifiedBy>
  <cp:revision>2</cp:revision>
  <dcterms:created xsi:type="dcterms:W3CDTF">2023-02-14T07:46:00Z</dcterms:created>
  <dcterms:modified xsi:type="dcterms:W3CDTF">2023-02-14T07:46:00Z</dcterms:modified>
</cp:coreProperties>
</file>